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2017/220 vom 3. Februar 2020</w:t>
      </w:r>
    </w:p>
    <w:p>
      <w:r>
        <w:t>Sg Versicherungsgericht, 2020-02-03, DE</w:t>
      </w:r>
    </w:p>
    <w:p>
      <w:r>
        <w:rPr>
          <w:b/>
        </w:rPr>
        <w:t xml:space="preserve">Quelle: </w:t>
      </w:r>
      <w:r>
        <w:t>https://mcp.opencaselaw.ch/entscheid/sg_publikationen_IV 2017_220</w:t>
      </w:r>
    </w:p>
    <w:p>
      <w:r>
        <w:t>FR: SG_VERSICHERUNGSGERICHT IV 2017/220 du 3 février 2020</w:t>
      </w:r>
    </w:p>
    <w:p>
      <w:r>
        <w:t>IT: SG_VERSICHERUNGSGERICHT IV 2017/220 del 3 febbraio 2020</w:t>
      </w:r>
    </w:p>
    <w:p>
      <w:pPr>
        <w:pStyle w:val="Heading2"/>
      </w:pPr>
      <w:r>
        <w:t>Regeste</w:t>
      </w:r>
    </w:p>
    <w:p>
      <w:r>
        <w:t>Art. 16 ATSG, Art. 28 IVG. Rentenanspruch. Beweiskraft des polydisziplinären Gutachtens bejaht. Verwertbarkeit der Restarbeitsfähigkeit bejaht. Abweisung der Beschwerde bei einem Invaliditätsgrad von unter 40% (Entscheid des Versicherungsgerichts des Kantons St. Gallen vom 3. Februar 2020, IV 2017/220).</w:t>
      </w:r>
    </w:p>
    <w:p>
      <w:pPr>
        <w:pStyle w:val="Heading2"/>
      </w:pPr>
      <w:r>
        <w:t>Volltext</w:t>
      </w:r>
    </w:p>
    <w:p>
      <w:r>
        <w:t>Entscheid vom 3. Februar 2020 Besetzung Präsident Joachim Huber, Versicherungsrichterinnen Christiane Gallati Schneider und Miriam Lendfers; Gerichtsschreiber Markus Lorenzi Geschäftsnr. IV 2017/220 Parteien A.___, Beschwerdeführerin, vertreten durch Rechtsanwalt lic. iur. Daniel Ehrenzeller, Engelgasse 214, 9053 Teufen, gegen IV-Stelle des Kantons St. Gallen, Postfach 368, 9016 St. Gallen, Beschwerdegegnerin, Gegenstand Rente Sachverhalt A.___ (nachfolgend: Versicherte), welche zuletzt mit einem 100% Pensum als Betriebsmitarbeiterin bei der Firma B.___ im Fürstentum Liechtenstein angestellt war (das Ende des Arbeitsverhältnisses datiert vom 30. Oktober 2013), meldete sich im Februar 2013 wegen Rückenschmerzen zum Bezug von Leistungen der Invalidenversicherung (IV) bei der IV-Stelle des Kantons St. Gallen an (IV-act. 1). Diese leitete die Anmeldung zur Erstprüfung der IV-Stelle des Fürstentums Liechtenstein weiter (IV-act. 9 f.), welche mit Verfügung vom 4. September 2013 bei ab Juli 2013 wieder 100%-iger Arbeitsfähigkeit der Versicherten in der angestammten Tätigkeit einen Rentenanspruch ablehnte (IV-act. 22). Mit Verfügung vom 21. Januar 2014 wies die IV-Stelle des Kantons St. Gallen ihrerseits einen Rentenanspruch ab (IV-act. 52). Im September 2015 meldete sich die Versicherte aufgrund von Bandscheibenvorfällen erneut zum Bezug von Leistungen bei der IV-Stelle des Kantons St. Gallen an (IV-act. 57). Im Anschluss daran reichte die Versicherte einen Sprechstundenbericht vom 2. Juli 2015 des Spitals Altstätten ein, worin nach einem Sturz auf das linke Handgelenk vom 2. Juni 2014 (IV-act. 97, 101) persistierende Schmerzen bei Status nach Handgelenksarthroskopie und SL-Bandrekonstruktion bei scapholunärer Dissoziation Handgelenk links vom 15. Dezember 2014 diagnostiziert wurden (IV-act. 59). Nach Einholung weiterer Dokumente (insbesondere von der Schweizerischen Unfallversicherungsanstalt [Suva; Fremdakten]; von Dr. med. C.___ vom 5. November 2015 [IV-act. 67]; vom Spital Grabs [IV-act. 70]; vom Spital Altstätten [IV-act. 86 f., 94 ff. bis 113]) und interner Anfrage beim regionalen ärztlichen Dienst (RAD; IV-act. 82) trat die IV-Stelle auf die Wiederanmeldung ein. Am 4. Februar 2016 teilte die IV-Stelle der Versicherten mit, dass keine beruflichen Massnahmen angezeigt seien und ein Rentenanspruch geprüft werde (IV-act. 120). Mit Vorbescheid vom 25. Februar 2016 stellte die IV-Stelle der Versicherten die Abweisung des Rentenbegehrens in Aussicht (IV-act. 125). Dagegen liess die Versicherte durch ihren Vertreter, Rechtsanwalt lic. iur. D. Ehrenzeller, Teufen, am 14. April 2016 Einwand erheben. Dieser beantragte, es sei der Versicherten mit Wirkung spätestens ab Juni 2015 mindestens eine halbe IV-Rente zuzusprechen. Eventualiter sei eine polydisziplinäre Begutachtung vorzunehmen. Der Versicherten sei im Weiteren für das Vorbescheidsverfahren die unentgeltliche Verbeiständung zu gewähren (IV-act. 130). In der Folge teilte die IV-Stelle nach Rücksprache mit dem RAD (IV-act. 140) dem Rechtsvertreter der Versicherten mit, dass eine polydisziplinäre medizinische Untersuchung (Allgemeine Innere Medizin, Rheumatologie, Handchirurgie, Psychiatrie) notwendig sei und dafür die MEDAS Interlaken GmbH (MEDAS) beauftragt werde (IV-act. 134, 144). Die Begutachtung wurde am 16. und 29. November 2016 durchgeführt und die Expertise am 1. Februar 2017 erstellt (IV-act. 149). Die Gutachter diagnostizierten residuelle Schmerzen und Kraftminderung der linken Hand nach Bandläsion (scapholunär und TFC-Komplex) und arthroskopischer Bandplastik am 15. Dezember 2014. Diesem Befund massen sie Einfluss auf die Arbeitsfähigkeit zu. Weiter diagnostizierten die Ärzte ein unspezifisches Ganzkörperschmerzsyndrom mit/bei operierter Diskushernie L4/5 im November 2012 und Schmerzausweitung, Selbstlimitierung, Aggravationstendenzen sowie psychische und Verhaltensfaktoren bei andernorts klassifizierten Krankheiten. Diesen Befunden massen sie keinen Einfluss auf die Arbeitsfähigkeit zu. Die Restbeschwerden in der linken Hand und die lokalen Schmerzen bei degenerativen Lendenwirbelsäulenveränderungen würden im Rahmen des ungünstigen Krankheitsverhaltens der Versicherten generalisiert und als Ursache einer subjektiven ausgeprägten Belastungs- und Leistungsinsuffizienz empfunden. In der zuletzt ausgeübten Tätigkeit bestehe seit dem Unfall und der Operation bis aktuell keine Arbeitsfähigkeit mehr, da diese zwar körperlich leicht, aber bimanuell auszuüben sei. In einer angepassten Tätigkeit, körperlich leicht, in Wechselhaltung, mit einem Gewichtslimit für Heben und Tragen von maximal 15 Kilogramm für die dominante rechte Hand, von maximal 3 Kilogramm für die linke Hand, bestehe eine zeitlich uneingeschränkte Arbeitsfähigkeit. Eine Leistungsminderung von 20% sei aufgrund des chronischen Schmerzes (Arbeitstempo, Pausen) zu berücksichtigen. Die Einschätzung gelte ab sechs Monaten postoperativ, das heisse ab Juni 2015 (IV-act. 149-39 ff.). Nach Einholung einer Stellungnahme des RAD (IV-act. 148) teilte die IV-Stelle der Versicherten am 17. Februar 2017 mit, dass gestützt auf das MEDAS-Gutachten weiterhin vorgesehen sei, an der Rentenablehnung festzuhalten (IV-act. 152). Mit Stellungnahme vom 10. März 2017 wies der Rechtsvertreter der Versicherten auf verschiedene Mängel (Widersprüche/Diskrepanzen) am Gutachten hin und hielt am Antrag um eine halbe Rente fest (IV-act. 159). Nach nochmaliger Stellungnahme durch den RAD (IV-act. 163) verfügte die IV-Stelle am 3. Mai 2017 die Abweisung des Rentengesuchs (IV-act. 165). Bereits mit Verfügung vom 31. März 2017 war das Gesuch um unentgeltliche Rechtsverbeiständung im Vorbescheidverfahren abgewiesen worden (IV-act. 162). Gegen die Verfügung vom 3. Mai 2017 richtet sich die vorliegende Beschwerde vom 6. Juni 2017. Der Rechtsvertreter der Versicherten (nachfolgend: Beschwerdeführerin) beantragte darin die Aufhebung der Verfügung und die Zusprache einer mindestens halben Rente der Invalidenversicherung mit Wirkung ab März 2016. Eventualiter sei unter Aufhebung der Verfügung die Angelegenheit im Sinne der Erwägungen an die IV-Stelle (nachfolgend: Beschwerdegegnerin) zurückzuweisen. Unter Kosten- und Entschädigungsfolge zu Lasten der Beschwerdegegnerin (act. G 1). Mit Beschwerdeantwort vom 29. August 2017 beantragte die Beschwerdegegnerin die Abweisung der Beschwerde (act. G 3). In der Replik vom 28. September 2017 liess die Beschwerdeführerin unverändert an der Beschwerde festhalten (act. G 8). Mit der Replik reichte der Rechtsvertreter unter anderem einen Arztbericht von Dr. C.___ vom 20. September 2017 ein (act. G 6.1-5). Die Beschwerdegegnerin hat auf die Einreichung einer Duplik verzichtet (act. G 8). Erwägungen Zwischen den Parteien umstritten und nachfolgend zu prüfen ist ein Rentenanspruch der Beschwerdeführerin.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In Bezug auf Berichte von Hausärzten darf und soll das Gericht der Erfahrungstatsache Rechnung tragen, dass Hausärzte mitunter im Hinblick auf ihre auftragsrechtliche Vertrauensstellung in Zweifelsfällen eher zu Gunsten ihrer Patienten aussagen (BGE 125 V 351 E. 3b/bb und cc). Dies gilt auch für Stellungnahmen behandelnder Spezialärzte (Urteil des Eidgenössischen Versicherungsgerichts [EVG]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Um den Invaliditätsgrad festlegen zu können, muss die Arbeitsfähigkeit der Beschwerdeführerin mit dem Beweisgrad der überwiegenden Wahrscheinlichkeit feststehen. Die angefochtene Verfügung der Beschwerdegegnerin stützt sich in medizinischer Hinsicht auf das polydisziplinäre Administrativgutachten der MEDAS vom 1. Februar 2017 (IV-act. 149). Dieser formgerecht eingeholten Expertise von externen Fachärzten (IV-act. 134, 141 ff.) ist bei der Beweiswürdigung voller Beweiswert zuzuerkennen, sofern nicht konkrete Indizien gegen deren Zuverlässigkeit sprechen (vgl. vorstehende E. 1.4). Die Beschwerdeführerin kritisiert das MEDAS-Gutachten in verschiedener Hinsicht und stellt dessen Beweiswert/Verwertbarkeit in Frage. Es bestünden Unklarheiten und Widersprüche sowohl innerhalb der als auch zwischen den einzelnen Disziplinen, weshalb nicht darauf abgestellt werden könne. Insbesondere sei auch der wesentlichste Teilaspekt, die handchirurgische Beurteilung, nicht umfassend und weise Ungereimtheiten auf. Letztlich sei nicht ersichtlich, welche konkreten Tätigkeiten noch in Frage kommen würden, nachdem sämtliche bimanuellen Tätigkeiten, auch leichte, nicht mehr zur Diskussion stünden und das vorhandene LWS-Syndrom längeres Sitzen verhindere bzw. Einfluss auf stehende und gehende Tätigkeiten habe, wobei diesbezüglich wiederum an das OSG zu erinnern sei (act. G 1). Zu diesen erwähnten Kritikpunkten ist folgendes festzuhalten. Es trifft zu, dass im rheumatologischen Teilgutachten von Dr. med. D.___, Facharzt FMH Rheumatologie (IV-act. 149-76 bis 85), die qualitativen Auswirkungen der Handgelenksbeschwerden links anders beurteilt wurden als im handchirurgischen Teilgutachten von Dr. med. E.___, Belegarzt FMH für Handchirurgie. Dies aufgrund der Tatsache, dass Dr. D.___ in Bezug auf das Handgelenk und die Hand links keine messbaren Befunde aufgrund fehlender Compliance/Mitarbeit eruieren konnte (IV-act. 149-80). Dr. E.___ seinerseits notierte eine im Gegensatz zur rechten Seite deutlich tiefere Kraftentwicklung bzw. einen erheblichen Kraftverlust und liess dies in die qualitative Arbeitsfähigkeitsbeurteilung einfliessen (IV-act. 149-59 f.). Entsprechend sind die unterschiedlichen Einschätzungen (gemäss Dr. E.___ ist nur noch eine leichte Belastung der linken Hand bis 3 Kilogramm zumutbar [IV-act. 149-60]; Dr. D.___ erachtet gestützt auf das Gesagte eine relevante Einschränkung in Bezug auf das linke Handgelenk für nicht erurierbar) erklärbar. Welches die objektiv richtige ist, kann dahingestellt bleiben, nachdem auch Dr. E.___ nachvollziehbar und schlüssig der Beschwerdeführerin in angepassten Tätigkeiten keine quantitative Einschränkung in der Arbeitsfähigkeit bescheinigte (IV-act. 149-60) und diese – wie sich nachfolgend zeigt – gestützt auf die Rechtsprechung verwertbar ist. Auch trifft zu, dass das handchirurgische Teilgutachten, wie es die Beschwerdeführerin ausführen lässt, eher kurz gehalten wurde (IV-act. 149-57 bis 60). Die Beschwerdeführerin wurde aber auch von Dr. E.___ umfassend klinisch untersucht. Die Anamnese wurde erhoben, die geklagten Beschwerden wurden berücksichtigt und die Befunde – auch mittels eigener Röntgenaufnahme – dargelegt. Zu bemängeln wäre einzig die fehlende Auseinandersetzung mit allfälligen Diskrepanzen/Inkonsistenzen mittels Verhaltensbeobachtung oder durch klinischen Vergleich beider Hände (Beschwielung, Atrophie), wie es Dr. D.___ in seinem Teilgutachten thematisiert und gewürdigt hat (IV-act. 149-83). Dies, zumal auch Dr. E.___ die geklagten Beschwerden und Einschränkungen offensichtlich nicht genügend objektivieren konnte und lediglich eine Verdachtsdiagnose (Verdacht auf Tendovaginitis der Beugesehne mit leichtgradiger Karpaltunnel-Symptomatik und Reizung im A1-Ringbandbereich) äusserte (IV-act. 149-59), welche indes auch nicht zu quantitativen Einschränkungen führen würde. Dieser genannte Mangel führt vorliegend indes nicht dazu, dass das Teilgutachten und das gesamte Gutachten nicht verwertbar wären bzw. ergänzende Abklärungen notwendig würden, zumal er sich nicht zuungunsten der Beschwerdeführerin auswirkt und letztlich die Beurteilungen von Dr. E.___ im interdisziplinären Konsens berücksichtigt wurden (IV-act. 149-39, 41). In Bezug auf das rheumatologische Teilgutachten von Dr. D.___ (IV-act. 149-76 bis 85) ist abschliessend festzuhalten, dass insgesamt keine Anhaltspunkte bestehen, dass die klinische Untersuchung mit Anamneseerhebung, Symptomerfassung und – wie erwähnt – Verhaltensbeobachtung als wichtigste Grundlage gutachterlicher Feststellungen und Schlussfolgerungen (vgl. Urteil des Bundesgerichts vom 28. Mai 2019, 9C_867/2018, E. 5.2.1) nicht lege artis erfolgt wäre. Es beruht auf sorgfältigen und allseitigen Untersuchungen (IV-act. 149-78 ff.), berücksichtigt die geklagten Beschwerden (IV-act. 149-77 f.) und ist in Kenntnis der relevanten Vorakten (IV-act. 149-76) abgegeben worden. Gestützt darauf ergingen die Diagnosen (IV-act. 149-82) bzw. die Beurteilung in Bezug auf die quantitative und qualitative Arbeitsfähigkeit aus rheumatologischer Sicht (IV-act. 149-82 ff.). Konkrete Indizien gegen die Zuverlässigkeit der Expertise sind nicht auszumachen. Dasselbe gilt in Bezug auf das psychiatrische Teilgutachten (IV-act. 149-61 bis 75) von Dr. med. F.___, Facharzt FMH Psychiatrie und Psychotherapie, wogegen zu Recht keine konkreten Einwände erhoben wurden, sowie die interdisziplinäre Gesamtbeurteilung (IV-act. 149-1 bis 43). Zusammengefasst ist festzuhalten, dass auf das MEDAS-Gutachten abgestellt werden kann. Allfälligen Mängeln/Widersprüchen kann mittels kritischer gerichtlicher Würdigung der (entsprechenden) medizinischen Erkenntnisse begegnet werden bzw. es sind allfällige unterschiedliche Einschätzungen nicht ausschlaggebend für die Beantwortung der Frage, ob ein rentenrelevanter Invaliditätsgrad vorliegt. Entsprechend kann von weiteren Abklärungen abgesehen werden. Gestützt auf das MEDAS-Gutachten besteht in der zuletzt ausgeübten bimanuellen Tätigkeit als Betriebsmitarbeiterin (u.a. Heben von Kisten mit Gewichten von 15 bis 17 Kilogramm vom Boden bis zur Lende; IV-act. 163-2) seit dem Unfall betreffend das linke Handgelenk bzw. der dabei verursachten Bandläsion (2. Juni 2014; IV-act. 149-9) keine Arbeitsfähigkeit mehr. In einer körperlich leichten Tätigkeit in Wechselhaltung mit Gewichtslimiten für Heben und Tragen von maximal 15 Kilogramm für die rechte dominante Hand und aktuell 3 Kilogramm für die linke Hand besteht eine zeitlich uneingeschränkte Arbeitsfähigkeit, wobei eine Leistungsminderung aufgrund des chronischen Schmerzes mit Einfluss auf das Arbeitstempo und zusätzlich benötigter Pausen von 20% zu berücksichtigen ist. Die Einschränkung gilt seit Juni 2015, 6 Monate postoperativ (IV-act. 149-41). Die Beschwerdeführerin macht geltend, dass eine allfällige (Rest-)Arbeitsfähigkeit nicht mehr verwertbar sei. Rechtsprechungsgemäss ist in der Regel die Verwertbarkeit der Restarbeitsfähigkeit umso eingehender abzuklären und nachzuweisen, je restriktiver das medizinische Anforderungsprofil umschrieben ist. Der ausgeglichene Arbeitsmarkt (vgl. Art. 7 Abs. 1 und 16 ATSG) umfasst aber auch sogenannte Nischenarbeitsplätze, also Stellen- und Arbeitsangebote, bei denen gesundheitlich beeinträchtigte Personen mit einem sozialen Entgegenkommen von Seiten des Arbeitgebers rechnen können.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6. Juli 2017, 9C_253/2017, E. 2.2.1, mit Hinweisen). Die Beschwerdeführerin ist in einer angepassten Tätigkeit zu 80% leistungsfähig. Zumutbar sind ihr in qualitativer Hinsicht körperlich leichte Tätigkeiten in Wechselhaltung mit Gewichtslimiten für Heben und Tragen von maximal 15 Kilogramm für die rechte dominante Hand und aktuell 3 Kilogramm für die linke Hand. Selbst wenn es für die Beschwerdeführerin bei diesem Anforderungsprofil schwierig sein dürfte, eine geeignete Stelle zu finden, so sind die Einschränkungen nicht als derart gravierend zu qualifizieren, dass dies – jedenfalls auf dem massgebenden ausgeglichenen Arbeitsmarkt – nicht mehr denkbar bzw. von vornherein ausgeschlossen wäre. Wie die Beschwerdegegnerin in der Beschwerdeantwort vom 29. August 2017 richtig ausgeführt hat, sind beispielsweise einfache Überwachungs-, Prüf- und Kontrolltätigkeiten sowie die Bedienung und Überwachung von voll- oder halbautomatischen Maschinen oder Produktionseinheiten denkbar (vgl. dazu Urteile des Bundesgerichts vom 17. Oktober 2016, 8C_451/2016, E. 5.1, und vom 8. September 2009, 8C_207/2009, E. 3.2). Dafür benötigt die Beschwerdeführerin weder besondere Berufskenntnisse noch Berufserfahrung. Von einer Unverwertbarkeit der Restarbeitsfähigkeit ist demnach nicht auszugehen. Damit verbleibt die Bestimmung des Invaliditätsgrad auf der Grundlage einer seit Juni 2015 bestehenden 80%-igen Arbeitsfähigkeit für leidensadaptierte Tätigkeiten im Rahmen eines Einkommensvergleichs (vgl. dazu vorstehende E. 1.1). Es ist unbestritten, dass die Beschwerdeführerin im Jahr 2011 an ihrer letzten Arbeitsstelle, welche als Hilfsarbeiterinnentätigkeit zu qualifizieren ist, ein Einkommen von jährlich Fr. 49'400.-- (13 * Fr. 3'800.--) erzielte. Damit resultiert für das Jahr 2016 (frühestmöglicher Rentenbeginn; Art. 29 Abs. 1 IVG) in Berücksichtigung der Nominallohnentwicklung ein Einkommen von Fr. 51'356.45 (vgl. Nominallohnindex 2011-2018, Frauen, Basis 2010 = 100, Jahr 2011: 101.0, Jahr 2016: 105.0). Gestützt auf das Belastungsprofil sind der Beschwerdeführerin als Verweistätigkeiten leidensangepasste Hilfsarbeiterinnentätigkeiten zuzumuten. Der LSE-Hilfsarbeiterinnenlohn hat im Jahr 2016 Fr. 54'581.-- betragen (vgl. Anhang 2 der IVG-Gesetzesausgabe der Informationsstelle AHV/IV, Ausgabe 2019). Die Gegenüberstellung mit dem vorerwähnten Einkommen ergibt eine Differenz von rund 6% (Fr. 51'356.45 / 54'581.--), weshalb eine Parallelisierung bis 5% zu erfolgen hat (BGE 135 V 302 ff. E. 6.1.2 f.). Damit ist für die Bestimmung des Invaliditätsgrads von einem Valideneinkommen von Fr. 51'851.95 (Fr. 54'581.-- * 0.95) auszugehen. Aufgrund dieser Vergleichseinkommen kann offenbleiben, ob und gegebenenfalls in welchem Umfang der Beschwerdeführerin ein Tabellenlohnabzug bei der Bestimmung des Invalideneinkommens zu gewähren ist. Denn selbst wenn zu Gunsten der Beschwerdeführerin der nach der Rechtsprechung höchstzulässige Abzug von 25% (BGE 126 V 75) gewährt würde, resultierte ein nicht rentenbegründender Invaliditätsgrad von weniger als 40% (37%; Valideneinkommen Fr. 51'851.95, Invalideneinkommen Fr. 32'748.60 [Fr. 54'581.-- * 0.8 * 0.75]).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Entscheid im Zirkulationsverfahren gemäss Art. 39 VRP Die Beschwerde wird abgewiesen.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